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2D7" w:rsidRDefault="003B5C0B">
      <w:bookmarkStart w:id="0" w:name="_GoBack"/>
      <w:bookmarkEnd w:id="0"/>
      <w:r w:rsidRPr="003B5C0B">
        <w:t>HEALTHCARE MANAGEMENT</w:t>
      </w:r>
      <w:r>
        <w:t xml:space="preserve">   TYYÇ ING</w:t>
      </w:r>
    </w:p>
    <w:tbl>
      <w:tblPr>
        <w:tblStyle w:val="TabloKlavuzu"/>
        <w:tblW w:w="0" w:type="auto"/>
        <w:tblInd w:w="0" w:type="dxa"/>
        <w:tblLook w:val="04A0" w:firstRow="1" w:lastRow="0" w:firstColumn="1" w:lastColumn="0" w:noHBand="0" w:noVBand="1"/>
      </w:tblPr>
      <w:tblGrid>
        <w:gridCol w:w="1490"/>
        <w:gridCol w:w="1637"/>
        <w:gridCol w:w="2781"/>
        <w:gridCol w:w="59"/>
        <w:gridCol w:w="1187"/>
        <w:gridCol w:w="913"/>
        <w:gridCol w:w="995"/>
      </w:tblGrid>
      <w:tr w:rsidR="00C97804" w:rsidTr="00C97804">
        <w:trPr>
          <w:trHeight w:val="425"/>
        </w:trPr>
        <w:tc>
          <w:tcPr>
            <w:tcW w:w="1490"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r>
              <w:t>Skills</w:t>
            </w:r>
          </w:p>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r>
              <w:t>-Theoretical</w:t>
            </w:r>
          </w:p>
          <w:p w:rsidR="00C97804" w:rsidRDefault="00C97804">
            <w:r>
              <w:t>-Applied</w:t>
            </w:r>
          </w:p>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1. Can benefit from managerial practices in Health Institutions Management practices.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r>
      <w:tr w:rsidR="00C97804" w:rsidTr="00C9780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2. Can critically look at administrative applications.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r>
      <w:tr w:rsidR="00C97804" w:rsidTr="00C9780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3. It can produce new ideas to improve quality of care in health services.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w:t>
            </w:r>
          </w:p>
        </w:tc>
      </w:tr>
      <w:tr w:rsidR="00C97804" w:rsidTr="00C9780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4. Describe sufficient level of statistical and research methodology to conduct scientific research in the field of Health Management.</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4</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4</w:t>
            </w:r>
          </w:p>
        </w:tc>
      </w:tr>
      <w:tr w:rsidR="00C97804" w:rsidTr="00C9780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5. Discuss the concepts related to the field of specialization with the concepts of professional health management.</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2,3</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2,3</w:t>
            </w:r>
          </w:p>
        </w:tc>
      </w:tr>
      <w:tr w:rsidR="00C97804" w:rsidTr="00C9780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6. Can use new approaches in health management to solve problems of healthy and sick person.</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1,2</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rPr>
            </w:pPr>
            <w:r>
              <w:rPr>
                <w:rFonts w:cs="Times New Roman"/>
                <w:color w:val="000000" w:themeColor="text1"/>
              </w:rPr>
              <w:t>1,2</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937"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2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rPr>
          <w:trHeight w:val="1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937" w:type="dxa"/>
            <w:gridSpan w:val="2"/>
            <w:tcBorders>
              <w:top w:val="single" w:sz="4" w:space="0" w:color="auto"/>
              <w:left w:val="single" w:sz="4" w:space="0" w:color="auto"/>
              <w:bottom w:val="single" w:sz="4" w:space="0" w:color="auto"/>
              <w:right w:val="single" w:sz="4" w:space="0" w:color="auto"/>
            </w:tcBorders>
          </w:tcPr>
          <w:p w:rsidR="00C97804" w:rsidRDefault="00C97804">
            <w:r>
              <w:t>1. Have up-to-date knowledge, develop and deepen the level of expertise in the field of health, based on qualifications at the undergraduate level.</w:t>
            </w:r>
          </w:p>
          <w:p w:rsidR="00C97804" w:rsidRDefault="00C97804"/>
          <w:p w:rsidR="00C97804" w:rsidRDefault="00C97804">
            <w:r>
              <w:t>2. The interaction between the disciplines that are associated in the field of health is gained and used.</w:t>
            </w:r>
          </w:p>
          <w:p w:rsidR="00C97804" w:rsidRDefault="00C97804"/>
          <w:p w:rsidR="00C97804" w:rsidRDefault="00C97804">
            <w:r>
              <w:t>3. Has knowledge about information technology, technical equipment and devices and devices which are specific to the field at the level required by the health field.</w:t>
            </w:r>
          </w:p>
          <w:p w:rsidR="00C97804" w:rsidRDefault="00C97804"/>
          <w:p w:rsidR="00C97804" w:rsidRDefault="00C97804">
            <w:r>
              <w:t>4. Has knowledge about statistics as a tool which is used continuously in health field studies and uses related software effectively.</w:t>
            </w:r>
          </w:p>
        </w:tc>
        <w:tc>
          <w:tcPr>
            <w:tcW w:w="3224" w:type="dxa"/>
            <w:gridSpan w:val="3"/>
            <w:tcBorders>
              <w:top w:val="single" w:sz="4" w:space="0" w:color="auto"/>
              <w:left w:val="single" w:sz="4" w:space="0" w:color="auto"/>
              <w:bottom w:val="single" w:sz="4" w:space="0" w:color="auto"/>
              <w:right w:val="single" w:sz="4" w:space="0" w:color="auto"/>
            </w:tcBorders>
          </w:tcPr>
          <w:p w:rsidR="00C97804" w:rsidRDefault="00C97804">
            <w:r>
              <w:t>1-Based on qualifications of the undergraduate level, they have up-to-date knowledge, develop and deepen them at the level of expertise in the field of health.</w:t>
            </w:r>
          </w:p>
          <w:p w:rsidR="00C97804" w:rsidRDefault="00C97804"/>
          <w:p w:rsidR="00C97804" w:rsidRDefault="00C97804">
            <w:r>
              <w:t>2- Acquire the interaction between the disciplines that are associated in the field of health.</w:t>
            </w:r>
          </w:p>
          <w:p w:rsidR="00C97804" w:rsidRDefault="00C97804"/>
          <w:p w:rsidR="00C97804" w:rsidRDefault="00C97804">
            <w:r>
              <w:t>3-It has information about other technological tools including computer and devices and tools specific to the field at the level required by the health field.</w:t>
            </w:r>
          </w:p>
          <w:p w:rsidR="00C97804" w:rsidRDefault="00C97804"/>
          <w:p w:rsidR="00C97804" w:rsidRDefault="00C97804">
            <w:r>
              <w:t>4-Has knowledge about statistical methods as a tool which is used continuously in studies for the health field.</w:t>
            </w:r>
          </w:p>
        </w:tc>
      </w:tr>
      <w:tr w:rsidR="00C97804" w:rsidTr="00C97804">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r>
              <w:t>-Conceptual</w:t>
            </w:r>
          </w:p>
          <w:p w:rsidR="00C97804" w:rsidRDefault="00C97804">
            <w:r>
              <w:t>-Cognitive</w:t>
            </w:r>
          </w:p>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lastRenderedPageBreak/>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Can use in the application areas of basic information obtained from different disciplines and his own field and evaluate the service he gives.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2</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2</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 xml:space="preserve"> It can reflect the results obtained from studies to health management practices.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Can acquire the training ability to make presentations according to learning and teaching strategies.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3,4,5,6</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3,4,5,6</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Explain professional ethics rules related to health management and reflect managerial practices.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Apply the problem solving approach in health management applications.</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1,2</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imes New Roman"/>
                <w:color w:val="000000" w:themeColor="text1"/>
                <w:shd w:val="clear" w:color="auto" w:fill="F8F8F8"/>
              </w:rPr>
            </w:pPr>
            <w:r>
              <w:rPr>
                <w:rFonts w:cs="Times New Roman"/>
                <w:color w:val="000000" w:themeColor="text1"/>
                <w:shd w:val="clear" w:color="auto" w:fill="F8F8F8"/>
              </w:rPr>
              <w:t>1,2</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937"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2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937" w:type="dxa"/>
            <w:gridSpan w:val="2"/>
            <w:tcBorders>
              <w:top w:val="single" w:sz="4" w:space="0" w:color="auto"/>
              <w:left w:val="single" w:sz="4" w:space="0" w:color="auto"/>
              <w:bottom w:val="single" w:sz="4" w:space="0" w:color="auto"/>
              <w:right w:val="single" w:sz="4" w:space="0" w:color="auto"/>
            </w:tcBorders>
          </w:tcPr>
          <w:p w:rsidR="00C97804" w:rsidRDefault="00C97804">
            <w:r>
              <w:t>1- Uses theoretical and practical knowledge at the level of expertise in the field of health.</w:t>
            </w:r>
          </w:p>
          <w:p w:rsidR="00C97804" w:rsidRDefault="00C97804"/>
          <w:p w:rsidR="00C97804" w:rsidRDefault="00C97804">
            <w:r>
              <w:t>2-Analyzes and synthesizes the information in the field of health using information from different disciplines and interprets them in order to create new information, using different research methods, and brings solutions.</w:t>
            </w:r>
          </w:p>
          <w:p w:rsidR="00C97804" w:rsidRDefault="00C97804"/>
          <w:p w:rsidR="00C97804" w:rsidRDefault="00C97804">
            <w:r>
              <w:t>3-Write the report of the researcher you have done.</w:t>
            </w:r>
          </w:p>
          <w:p w:rsidR="00C97804" w:rsidRDefault="00C97804"/>
          <w:p w:rsidR="00C97804" w:rsidRDefault="00C97804">
            <w:r>
              <w:t>4-Using the technological tools including the computer at the level required by the health field and devices and tools specific to the field, using the advanced level, make the necessary examinations and solve the problems and problems.</w:t>
            </w:r>
          </w:p>
          <w:p w:rsidR="00C97804" w:rsidRDefault="00C97804"/>
          <w:p w:rsidR="00C97804" w:rsidRDefault="00C97804">
            <w:r>
              <w:t>5-Effective use of statistical software, accurate selection of statistical methods, accurate calculations and accurate interpretations.</w:t>
            </w:r>
          </w:p>
          <w:p w:rsidR="00C97804" w:rsidRDefault="00C97804"/>
          <w:p w:rsidR="00C97804" w:rsidRDefault="00C97804">
            <w:r>
              <w:t>6-Experimental research plans, do.</w:t>
            </w:r>
          </w:p>
        </w:tc>
        <w:tc>
          <w:tcPr>
            <w:tcW w:w="3224" w:type="dxa"/>
            <w:gridSpan w:val="3"/>
            <w:tcBorders>
              <w:top w:val="single" w:sz="4" w:space="0" w:color="auto"/>
              <w:left w:val="single" w:sz="4" w:space="0" w:color="auto"/>
              <w:bottom w:val="single" w:sz="4" w:space="0" w:color="auto"/>
              <w:right w:val="single" w:sz="4" w:space="0" w:color="auto"/>
            </w:tcBorders>
          </w:tcPr>
          <w:p w:rsidR="00C97804" w:rsidRDefault="00C97804">
            <w:r>
              <w:lastRenderedPageBreak/>
              <w:t>1-Has the ability to use, develop and deepen the theoretical and practical knowledge at the level of expertise he gained in his field.</w:t>
            </w:r>
          </w:p>
          <w:p w:rsidR="00C97804" w:rsidRDefault="00C97804"/>
          <w:p w:rsidR="00C97804" w:rsidRDefault="00C97804">
            <w:r>
              <w:t>2-Analyzes and synthesizes interpretations using different research methods, and suggests solutions to integrate the information in the field of health with information from different disciplines and create new information.</w:t>
            </w:r>
          </w:p>
          <w:p w:rsidR="00C97804" w:rsidRDefault="00C97804"/>
          <w:p w:rsidR="00C97804" w:rsidRDefault="00C97804">
            <w:r>
              <w:t>3-The report of the researcher / participant that he / she has participated in is published by a writer and a national / internationally accepted editorial magazine or a scientific meeting.</w:t>
            </w:r>
          </w:p>
          <w:p w:rsidR="00C97804" w:rsidRDefault="00C97804"/>
          <w:p w:rsidR="00C97804" w:rsidRDefault="00C97804">
            <w:r>
              <w:t>4-Using the technological tools including the computer at the level required by the health field and devices and tools specific to the field, using the advanced level, make the necessary examination, solve the problems and problems.</w:t>
            </w:r>
          </w:p>
          <w:p w:rsidR="00C97804" w:rsidRDefault="00C97804"/>
          <w:p w:rsidR="00C97804" w:rsidRDefault="00C97804">
            <w:r>
              <w:lastRenderedPageBreak/>
              <w:t>5-Uses information and communication technologies related to the field.</w:t>
            </w:r>
          </w:p>
          <w:p w:rsidR="00C97804" w:rsidRDefault="00C97804">
            <w:r>
              <w:t>6-Having the ability to select, calculate and interpret accurate statistical methods when researching the field.</w:t>
            </w:r>
          </w:p>
        </w:tc>
      </w:tr>
      <w:tr w:rsidR="00C97804" w:rsidTr="00C97804">
        <w:trPr>
          <w:trHeight w:val="425"/>
        </w:trPr>
        <w:tc>
          <w:tcPr>
            <w:tcW w:w="1490"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p w:rsidR="00C97804" w:rsidRDefault="00C97804">
            <w:r>
              <w:t>Competencies</w:t>
            </w:r>
          </w:p>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r>
              <w:t>Competence to Work Independently And Take Responsibility</w:t>
            </w:r>
          </w:p>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To be able to develop new strategic approaches for solution of complex problems encountered and unpredictable in field related applications and to be able to produce solutions by taking responsibility</w:t>
            </w:r>
          </w:p>
        </w:tc>
        <w:tc>
          <w:tcPr>
            <w:tcW w:w="922"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2,3,4,5</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Ability to independently carry out an activity that requires expertise in the field</w:t>
            </w:r>
          </w:p>
        </w:tc>
        <w:tc>
          <w:tcPr>
            <w:tcW w:w="922"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995"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1,2,3,4,5</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88"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hideMark/>
          </w:tcPr>
          <w:p w:rsidR="00C97804" w:rsidRDefault="00C97804">
            <w:r>
              <w:t>1. Expertise expertise brings solution proposals, resolves problems, evaluates the results obtained and applies them when necessary.</w:t>
            </w:r>
          </w:p>
          <w:p w:rsidR="00C97804" w:rsidRDefault="00C97804">
            <w:r>
              <w:t>2. Develops solution proposals in case of encountering complex situations that are not foreseen in the field of expertise and takes responsibility and produces solutions.</w:t>
            </w:r>
          </w:p>
          <w:p w:rsidR="00C97804" w:rsidRDefault="00C97804">
            <w:r>
              <w:t>3. Carries out the work related to the field of expertise independently and / or as a team.</w:t>
            </w:r>
          </w:p>
          <w:p w:rsidR="00C97804" w:rsidRDefault="00C97804">
            <w:r>
              <w:t>4. Publish a scientific article at a national level magazine or at a scientific meeting.</w:t>
            </w:r>
          </w:p>
          <w:p w:rsidR="00C97804" w:rsidRDefault="00C97804">
            <w:r>
              <w:t>5. Makes scientific projects and researches in the fields related to health management and evaluates the results.</w:t>
            </w:r>
          </w:p>
          <w:p w:rsidR="00C97804" w:rsidRDefault="00C97804">
            <w:r>
              <w:t>6. Contributes to the development and implementation of health management practices and health policies towards the needs of the community.</w:t>
            </w:r>
          </w:p>
          <w:p w:rsidR="00C97804" w:rsidRDefault="00C97804">
            <w:r>
              <w:t xml:space="preserve">7. Participates in national and international studies within the scientific development of the field of health management. Work in the </w:t>
            </w:r>
            <w:r>
              <w:lastRenderedPageBreak/>
              <w:t>organization of the work.</w:t>
            </w:r>
          </w:p>
        </w:tc>
        <w:tc>
          <w:tcPr>
            <w:tcW w:w="3288" w:type="dxa"/>
            <w:gridSpan w:val="4"/>
            <w:tcBorders>
              <w:top w:val="single" w:sz="4" w:space="0" w:color="auto"/>
              <w:left w:val="single" w:sz="4" w:space="0" w:color="auto"/>
              <w:bottom w:val="single" w:sz="4" w:space="0" w:color="auto"/>
              <w:right w:val="single" w:sz="4" w:space="0" w:color="auto"/>
            </w:tcBorders>
            <w:hideMark/>
          </w:tcPr>
          <w:p w:rsidR="00C97804" w:rsidRDefault="00C97804">
            <w:r>
              <w:lastRenderedPageBreak/>
              <w:t>1. Has the consciousness of fulfilling the duties and responsibilities it undertakes.</w:t>
            </w:r>
          </w:p>
          <w:p w:rsidR="00C97804" w:rsidRDefault="00C97804">
            <w:r>
              <w:t>2. Solve a field-related issue either as a team or independently.</w:t>
            </w:r>
          </w:p>
          <w:p w:rsidR="00C97804" w:rsidRDefault="00C97804">
            <w:r>
              <w:t>3. Develops team leadership skills and plans and manages professional development activities for employees under their responsibility.</w:t>
            </w:r>
          </w:p>
          <w:p w:rsidR="00C97804" w:rsidRDefault="00C97804">
            <w:r>
              <w:t>4. Can conduct independent research and studies in a professional or academic career.</w:t>
            </w:r>
          </w:p>
          <w:p w:rsidR="00C97804" w:rsidRDefault="00C97804">
            <w:r>
              <w:t>5. The subject matter requiring expertise in the field of health brings solutions, brings solutions, solves problems, evaluates the results obtained and applies them when necessary.</w:t>
            </w:r>
          </w:p>
          <w:p w:rsidR="00C97804" w:rsidRDefault="00C97804">
            <w:r>
              <w:t>6. Develops solution proposals in case of conflicting situations that are not foreseen in health field issues, and takes responsibility and produces solutions.</w:t>
            </w:r>
          </w:p>
          <w:p w:rsidR="00C97804" w:rsidRDefault="00C97804">
            <w:r>
              <w:t>7. Carry out the work related to the health field independently and / or as a team.</w:t>
            </w:r>
          </w:p>
          <w:p w:rsidR="00C97804" w:rsidRDefault="00C97804">
            <w:r>
              <w:t>8. Performs a statistical analysis to read and evaluate a scientific article..</w:t>
            </w:r>
          </w:p>
        </w:tc>
      </w:tr>
      <w:tr w:rsidR="00C97804" w:rsidTr="00C97804">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r>
              <w:t>Learning Competency</w:t>
            </w:r>
          </w:p>
          <w:p w:rsidR="00C97804" w:rsidRDefault="00C97804"/>
          <w:p w:rsidR="00C97804" w:rsidRDefault="00C97804"/>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Be able to critically evaluate and guide the knowledge and skills of the level of expertise gained in the field.</w:t>
            </w:r>
          </w:p>
        </w:tc>
        <w:tc>
          <w:tcPr>
            <w:tcW w:w="922"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2,3</w:t>
            </w:r>
          </w:p>
        </w:tc>
        <w:tc>
          <w:tcPr>
            <w:tcW w:w="995"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r>
      <w:tr w:rsidR="00C97804" w:rsidTr="00C9780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tcPr>
          <w:p w:rsidR="00C97804" w:rsidRDefault="00C97804">
            <w:r>
              <w:t>He / she evaluates knowledge and skills at the level of expertise in the field with a critical approach and guides learning.</w:t>
            </w:r>
          </w:p>
          <w:p w:rsidR="00C97804" w:rsidRDefault="00C97804"/>
        </w:tc>
        <w:tc>
          <w:tcPr>
            <w:tcW w:w="922"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1,2,3</w:t>
            </w:r>
          </w:p>
        </w:tc>
        <w:tc>
          <w:tcPr>
            <w:tcW w:w="995" w:type="dxa"/>
            <w:tcBorders>
              <w:top w:val="single" w:sz="4" w:space="0" w:color="auto"/>
              <w:left w:val="single" w:sz="4" w:space="0" w:color="auto"/>
              <w:bottom w:val="single" w:sz="4" w:space="0" w:color="auto"/>
              <w:right w:val="single" w:sz="4" w:space="0" w:color="auto"/>
            </w:tcBorders>
            <w:vAlign w:val="center"/>
            <w:hideMark/>
          </w:tcPr>
          <w:p w:rsidR="00C97804" w:rsidRDefault="00C97804">
            <w:pPr>
              <w:jc w:val="center"/>
              <w:rPr>
                <w:rFonts w:ascii="Arial" w:eastAsia="Times New Roman" w:hAnsi="Arial" w:cs="Arial"/>
                <w:sz w:val="20"/>
                <w:szCs w:val="20"/>
                <w:lang w:eastAsia="tr-TR"/>
              </w:rPr>
            </w:pPr>
            <w:r>
              <w:rPr>
                <w:rFonts w:ascii="Arial" w:eastAsia="Times New Roman" w:hAnsi="Arial" w:cs="Arial"/>
                <w:sz w:val="20"/>
                <w:szCs w:val="20"/>
                <w:lang w:eastAsia="tr-TR"/>
              </w:rPr>
              <w:t>1,3,4</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88"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tcPr>
          <w:p w:rsidR="00C97804" w:rsidRDefault="00C97804">
            <w:r>
              <w:t>1. To be able to critically evaluate and guide the knowledge and competence at the level of expertise gained in the field.</w:t>
            </w:r>
          </w:p>
          <w:p w:rsidR="00C97804" w:rsidRDefault="00C97804"/>
          <w:p w:rsidR="00C97804" w:rsidRDefault="00C97804">
            <w:r>
              <w:t>2. Be able to critically evaluate and guide the knowledge and competence at the level of expertise gained in the field.</w:t>
            </w:r>
          </w:p>
          <w:p w:rsidR="00C97804" w:rsidRDefault="00C97804">
            <w:r>
              <w:t>3. Evaluate critical information about the health field and guide learning.</w:t>
            </w:r>
          </w:p>
          <w:p w:rsidR="00C97804" w:rsidRDefault="00C97804">
            <w:r>
              <w:t>4. It is applied in the studies that carry out the principles of professional development and lifelong learning related to the field of health.</w:t>
            </w:r>
          </w:p>
          <w:p w:rsidR="00C97804" w:rsidRDefault="00C97804">
            <w:r>
              <w:t>5. In statistical analysis, it makes statistical analysis to read and evaluate a scientific article and follows the blood-based applications and conducts research that will create evidence in the field about professional applications.</w:t>
            </w:r>
          </w:p>
          <w:p w:rsidR="00C97804" w:rsidRDefault="00C97804"/>
        </w:tc>
        <w:tc>
          <w:tcPr>
            <w:tcW w:w="3288" w:type="dxa"/>
            <w:gridSpan w:val="4"/>
            <w:tcBorders>
              <w:top w:val="single" w:sz="4" w:space="0" w:color="auto"/>
              <w:left w:val="single" w:sz="4" w:space="0" w:color="auto"/>
              <w:bottom w:val="single" w:sz="4" w:space="0" w:color="auto"/>
              <w:right w:val="single" w:sz="4" w:space="0" w:color="auto"/>
            </w:tcBorders>
            <w:hideMark/>
          </w:tcPr>
          <w:p w:rsidR="00C97804" w:rsidRDefault="00C97804">
            <w:r>
              <w:t>1. Evaluate critical information about the health field and guide learning.</w:t>
            </w:r>
          </w:p>
          <w:p w:rsidR="00C97804" w:rsidRDefault="00C97804">
            <w:r>
              <w:t>2. Performs a statistical analysis to read and evaluate a scientific article.</w:t>
            </w:r>
          </w:p>
          <w:p w:rsidR="00C97804" w:rsidRDefault="00C97804">
            <w:r>
              <w:t>3. Follows evidence-based practices and conducts research that will generate evidence in their field of professional practice.</w:t>
            </w:r>
          </w:p>
          <w:p w:rsidR="00C97804" w:rsidRDefault="00C97804">
            <w:r>
              <w:t>4. It is applied in the studies that carry out the principles of professional development and lifelong learning related to the field of health.</w:t>
            </w:r>
          </w:p>
        </w:tc>
      </w:tr>
      <w:tr w:rsidR="00C97804" w:rsidTr="00C97804">
        <w:trPr>
          <w:trHeight w:val="425"/>
        </w:trPr>
        <w:tc>
          <w:tcPr>
            <w:tcW w:w="1490" w:type="dxa"/>
            <w:vMerge w:val="restart"/>
            <w:tcBorders>
              <w:top w:val="nil"/>
              <w:left w:val="single" w:sz="4" w:space="0" w:color="auto"/>
              <w:bottom w:val="single" w:sz="4" w:space="0" w:color="auto"/>
              <w:right w:val="single" w:sz="4" w:space="0" w:color="auto"/>
            </w:tcBorders>
          </w:tcPr>
          <w:p w:rsidR="00C97804" w:rsidRDefault="00C97804"/>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r>
              <w:t>Communication And Social Competence</w:t>
            </w:r>
          </w:p>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nil"/>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It conveys the thoughts and suggestions of the knowledge and skill level about the field in written and verbally.</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heme="minorHAnsi"/>
              </w:rPr>
            </w:pPr>
            <w:r>
              <w:rPr>
                <w:rFonts w:cstheme="minorHAnsi"/>
              </w:rPr>
              <w:t>1.2.</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heme="minorHAnsi"/>
              </w:rPr>
            </w:pPr>
            <w:r>
              <w:rPr>
                <w:rFonts w:cstheme="minorHAnsi"/>
              </w:rPr>
              <w:t>1.2.3.</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Evaluate the feasibility of research results, use them in health management applications, identify new problem areas for the continuity of researches, think critically.</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pPr>
              <w:rPr>
                <w:rFonts w:cstheme="minorHAnsi"/>
              </w:rPr>
            </w:pPr>
            <w:r>
              <w:rPr>
                <w:rFonts w:cstheme="minorHAnsi"/>
              </w:rPr>
              <w:t>1.2.3.</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pPr>
              <w:rPr>
                <w:rFonts w:cstheme="minorHAnsi"/>
              </w:rPr>
            </w:pPr>
            <w:r>
              <w:rPr>
                <w:rFonts w:cstheme="minorHAnsi"/>
              </w:rPr>
              <w:t>1.2.3.</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88"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tcPr>
          <w:p w:rsidR="00C97804" w:rsidRDefault="00C97804">
            <w:r>
              <w:t>1. Using a foreign language at least at European Language Portfolio B1 General Level, monitor the information in the field and communicate with colleagues</w:t>
            </w:r>
          </w:p>
          <w:p w:rsidR="00C97804" w:rsidRDefault="00C97804"/>
          <w:p w:rsidR="00C97804" w:rsidRDefault="00C97804">
            <w:r>
              <w:t>2. Having the level of computer usage required by the field and using the information and communication technologies together with the required computer softwares</w:t>
            </w:r>
          </w:p>
          <w:p w:rsidR="00C97804" w:rsidRDefault="00C97804"/>
          <w:p w:rsidR="00C97804" w:rsidRDefault="00C97804">
            <w:r>
              <w:t>  3. Monitor and evaluate the events / developments in the society and the world's agenda in the field of health</w:t>
            </w:r>
          </w:p>
        </w:tc>
        <w:tc>
          <w:tcPr>
            <w:tcW w:w="3288" w:type="dxa"/>
            <w:gridSpan w:val="4"/>
            <w:tcBorders>
              <w:top w:val="single" w:sz="4" w:space="0" w:color="auto"/>
              <w:left w:val="single" w:sz="4" w:space="0" w:color="auto"/>
              <w:bottom w:val="single" w:sz="4" w:space="0" w:color="auto"/>
              <w:right w:val="single" w:sz="4" w:space="0" w:color="auto"/>
            </w:tcBorders>
          </w:tcPr>
          <w:p w:rsidR="00C97804" w:rsidRDefault="00C97804">
            <w:r>
              <w:t>1. Use at least one foreign language to monitor innovations in the field and communicate with colleagues.</w:t>
            </w:r>
          </w:p>
          <w:p w:rsidR="00C97804" w:rsidRDefault="00C97804"/>
          <w:p w:rsidR="00C97804" w:rsidRDefault="00C97804">
            <w:r>
              <w:t>2. Use at least one foreign language to monitor innovations in the field and communicate with colleagues.</w:t>
            </w:r>
          </w:p>
          <w:p w:rsidR="00C97804" w:rsidRDefault="00C97804"/>
          <w:p w:rsidR="00C97804" w:rsidRDefault="00C97804">
            <w:r>
              <w:t>3. It performs interdisciplinary and interdisciplinary teamwork.</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1637" w:type="dxa"/>
            <w:vMerge w:val="restart"/>
            <w:tcBorders>
              <w:top w:val="single" w:sz="4" w:space="0" w:color="auto"/>
              <w:left w:val="single" w:sz="4" w:space="0" w:color="auto"/>
              <w:bottom w:val="single" w:sz="4" w:space="0" w:color="auto"/>
              <w:right w:val="single" w:sz="4" w:space="0" w:color="auto"/>
            </w:tcBorders>
          </w:tcPr>
          <w:p w:rsidR="00C97804" w:rsidRDefault="00C97804"/>
          <w:p w:rsidR="00C97804" w:rsidRDefault="00C97804"/>
          <w:p w:rsidR="00C97804" w:rsidRDefault="00C97804"/>
          <w:p w:rsidR="00C97804" w:rsidRDefault="00C97804"/>
          <w:p w:rsidR="00C97804" w:rsidRDefault="00C97804"/>
          <w:p w:rsidR="00C97804" w:rsidRDefault="00C97804">
            <w:r>
              <w:t>Specific Areas</w:t>
            </w:r>
          </w:p>
          <w:p w:rsidR="00C97804" w:rsidRDefault="00C97804">
            <w:r>
              <w:t>Perfection</w:t>
            </w:r>
          </w:p>
        </w:tc>
        <w:tc>
          <w:tcPr>
            <w:tcW w:w="4244"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PROGRAM LEARNING OUTCOMES</w:t>
            </w:r>
          </w:p>
        </w:tc>
        <w:tc>
          <w:tcPr>
            <w:tcW w:w="922"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TYYÇ</w:t>
            </w:r>
          </w:p>
        </w:tc>
        <w:tc>
          <w:tcPr>
            <w:tcW w:w="995" w:type="dxa"/>
            <w:tcBorders>
              <w:top w:val="single" w:sz="4" w:space="0" w:color="auto"/>
              <w:left w:val="single" w:sz="4" w:space="0" w:color="auto"/>
              <w:bottom w:val="single" w:sz="4" w:space="0" w:color="auto"/>
              <w:right w:val="nil"/>
            </w:tcBorders>
            <w:shd w:val="clear" w:color="auto" w:fill="948A54" w:themeFill="background2" w:themeFillShade="80"/>
            <w:hideMark/>
          </w:tcPr>
          <w:p w:rsidR="00C97804" w:rsidRDefault="00C97804">
            <w:pPr>
              <w:rPr>
                <w:color w:val="FFFFFF" w:themeColor="background1"/>
                <w:sz w:val="24"/>
                <w:szCs w:val="24"/>
              </w:rPr>
            </w:pPr>
            <w:r>
              <w:rPr>
                <w:color w:val="FFFFFF" w:themeColor="background1"/>
                <w:sz w:val="24"/>
                <w:szCs w:val="24"/>
              </w:rPr>
              <w:t>TAY</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Contributes to the development of the field of professional health management</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r>
              <w:t>1.2.3.</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r>
              <w:t>1.2.3.</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4244" w:type="dxa"/>
            <w:gridSpan w:val="3"/>
            <w:tcBorders>
              <w:top w:val="single" w:sz="4" w:space="0" w:color="auto"/>
              <w:left w:val="single" w:sz="4" w:space="0" w:color="auto"/>
              <w:bottom w:val="single" w:sz="4" w:space="0" w:color="auto"/>
              <w:right w:val="single" w:sz="4" w:space="0" w:color="auto"/>
            </w:tcBorders>
            <w:hideMark/>
          </w:tcPr>
          <w:p w:rsidR="00C97804" w:rsidRDefault="00C97804">
            <w:r>
              <w:t>Gain basic theoretical and practical knowledge about the health and well-being of the family and society in the direction of scientific developments in health management and health science</w:t>
            </w:r>
          </w:p>
        </w:tc>
        <w:tc>
          <w:tcPr>
            <w:tcW w:w="922" w:type="dxa"/>
            <w:tcBorders>
              <w:top w:val="single" w:sz="4" w:space="0" w:color="auto"/>
              <w:left w:val="single" w:sz="4" w:space="0" w:color="auto"/>
              <w:bottom w:val="single" w:sz="4" w:space="0" w:color="auto"/>
              <w:right w:val="single" w:sz="4" w:space="0" w:color="auto"/>
            </w:tcBorders>
            <w:hideMark/>
          </w:tcPr>
          <w:p w:rsidR="00C97804" w:rsidRDefault="00C97804">
            <w:r>
              <w:t>1.2.3.</w:t>
            </w:r>
          </w:p>
        </w:tc>
        <w:tc>
          <w:tcPr>
            <w:tcW w:w="995" w:type="dxa"/>
            <w:tcBorders>
              <w:top w:val="single" w:sz="4" w:space="0" w:color="auto"/>
              <w:left w:val="single" w:sz="4" w:space="0" w:color="auto"/>
              <w:bottom w:val="single" w:sz="4" w:space="0" w:color="auto"/>
              <w:right w:val="single" w:sz="4" w:space="0" w:color="auto"/>
            </w:tcBorders>
            <w:hideMark/>
          </w:tcPr>
          <w:p w:rsidR="00C97804" w:rsidRDefault="00C97804">
            <w:r>
              <w:t>1.2.3.</w:t>
            </w:r>
          </w:p>
        </w:tc>
      </w:tr>
      <w:tr w:rsidR="00C97804" w:rsidTr="00C97804">
        <w:trPr>
          <w:trHeight w:val="909"/>
        </w:trPr>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FFFFFF" w:themeColor="background1"/>
                <w:sz w:val="24"/>
                <w:szCs w:val="24"/>
              </w:rPr>
            </w:pPr>
            <w:r>
              <w:rPr>
                <w:color w:val="FFFFFF" w:themeColor="background1"/>
                <w:sz w:val="24"/>
                <w:szCs w:val="24"/>
              </w:rPr>
              <w:t>TURKEY HIGHER EDUCATION QUALIFICATIONS FRAMEWORK (THQF)</w:t>
            </w:r>
          </w:p>
        </w:tc>
        <w:tc>
          <w:tcPr>
            <w:tcW w:w="3288"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C97804" w:rsidRDefault="00C97804">
            <w:pPr>
              <w:jc w:val="center"/>
              <w:rPr>
                <w:color w:val="000000" w:themeColor="text1"/>
                <w:sz w:val="24"/>
                <w:szCs w:val="24"/>
              </w:rPr>
            </w:pPr>
            <w:r>
              <w:rPr>
                <w:color w:val="FFFFFF" w:themeColor="background1"/>
                <w:sz w:val="24"/>
                <w:szCs w:val="24"/>
              </w:rPr>
              <w:t>MAIN AREAS OF COMPETENCE (MAC)</w:t>
            </w:r>
          </w:p>
        </w:tc>
      </w:tr>
      <w:tr w:rsidR="00C97804" w:rsidTr="00C97804">
        <w:tc>
          <w:tcPr>
            <w:tcW w:w="0" w:type="auto"/>
            <w:vMerge/>
            <w:tcBorders>
              <w:top w:val="nil"/>
              <w:left w:val="single" w:sz="4" w:space="0" w:color="auto"/>
              <w:bottom w:val="single" w:sz="4" w:space="0" w:color="auto"/>
              <w:right w:val="single" w:sz="4" w:space="0" w:color="auto"/>
            </w:tcBorders>
            <w:vAlign w:val="center"/>
            <w:hideMark/>
          </w:tcPr>
          <w:p w:rsidR="00C97804" w:rsidRDefault="00C97804"/>
        </w:tc>
        <w:tc>
          <w:tcPr>
            <w:tcW w:w="0" w:type="auto"/>
            <w:vMerge/>
            <w:tcBorders>
              <w:top w:val="single" w:sz="4" w:space="0" w:color="auto"/>
              <w:left w:val="single" w:sz="4" w:space="0" w:color="auto"/>
              <w:bottom w:val="single" w:sz="4" w:space="0" w:color="auto"/>
              <w:right w:val="single" w:sz="4" w:space="0" w:color="auto"/>
            </w:tcBorders>
            <w:vAlign w:val="center"/>
            <w:hideMark/>
          </w:tcPr>
          <w:p w:rsidR="00C97804" w:rsidRDefault="00C97804"/>
        </w:tc>
        <w:tc>
          <w:tcPr>
            <w:tcW w:w="2873" w:type="dxa"/>
            <w:tcBorders>
              <w:top w:val="single" w:sz="4" w:space="0" w:color="auto"/>
              <w:left w:val="single" w:sz="4" w:space="0" w:color="auto"/>
              <w:bottom w:val="single" w:sz="4" w:space="0" w:color="auto"/>
              <w:right w:val="single" w:sz="4" w:space="0" w:color="auto"/>
            </w:tcBorders>
            <w:hideMark/>
          </w:tcPr>
          <w:p w:rsidR="00C97804" w:rsidRDefault="00C97804">
            <w:r>
              <w:t>1. Acts in accordance with laws, regulations, legislation and professional codes of ethics concerning duties, rights and responsibilities as individuals.</w:t>
            </w:r>
          </w:p>
          <w:p w:rsidR="00C97804" w:rsidRDefault="00C97804">
            <w:r>
              <w:t>2. Collecting with external appearance, attitude, attitude and behaviors becomes an example.</w:t>
            </w:r>
          </w:p>
          <w:p w:rsidR="00C97804" w:rsidRDefault="00C97804">
            <w:r>
              <w:t xml:space="preserve">3. Knowledge of the structure of the healthy and ill individual, their physiological functions and behaviors, and the understanding of the </w:t>
            </w:r>
            <w:r>
              <w:lastRenderedPageBreak/>
              <w:t>relationship between health and the physical and social environment at an advanced level.</w:t>
            </w:r>
          </w:p>
        </w:tc>
        <w:tc>
          <w:tcPr>
            <w:tcW w:w="3288" w:type="dxa"/>
            <w:gridSpan w:val="4"/>
            <w:tcBorders>
              <w:top w:val="single" w:sz="4" w:space="0" w:color="auto"/>
              <w:left w:val="single" w:sz="4" w:space="0" w:color="auto"/>
              <w:bottom w:val="single" w:sz="4" w:space="0" w:color="auto"/>
              <w:right w:val="single" w:sz="4" w:space="0" w:color="auto"/>
            </w:tcBorders>
            <w:hideMark/>
          </w:tcPr>
          <w:p w:rsidR="00C97804" w:rsidRDefault="00C97804">
            <w:r>
              <w:lastRenderedPageBreak/>
              <w:t>1. Purpose is to use vocational autonomy in international standards for appropriate program, planning, execution and evaluation, and has sufficient experience to make clinical applications.</w:t>
            </w:r>
          </w:p>
          <w:p w:rsidR="008E130D" w:rsidRDefault="00C97804">
            <w:r>
              <w:t>2. Practice effectively communicates with the individual, family, community and healthcare team.</w:t>
            </w:r>
          </w:p>
          <w:p w:rsidR="00C97804" w:rsidRDefault="00C97804">
            <w:r>
              <w:t>3. Follows evidence-based practices and new approaches when implementing health management practices.</w:t>
            </w:r>
          </w:p>
        </w:tc>
      </w:tr>
    </w:tbl>
    <w:p w:rsidR="00C97804" w:rsidRDefault="00C97804"/>
    <w:sectPr w:rsidR="00C97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4E"/>
    <w:rsid w:val="003B5C0B"/>
    <w:rsid w:val="004649B2"/>
    <w:rsid w:val="008932D7"/>
    <w:rsid w:val="008E130D"/>
    <w:rsid w:val="00B6234E"/>
    <w:rsid w:val="00C978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36ADD-A232-438D-BA43-B2CDF4CF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978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5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9142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dc:creator>
  <cp:keywords/>
  <dc:description/>
  <cp:lastModifiedBy>user</cp:lastModifiedBy>
  <cp:revision>2</cp:revision>
  <dcterms:created xsi:type="dcterms:W3CDTF">2022-03-11T06:14:00Z</dcterms:created>
  <dcterms:modified xsi:type="dcterms:W3CDTF">2022-03-11T06:14:00Z</dcterms:modified>
</cp:coreProperties>
</file>